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Соглашение № 5 от 23.12.2024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7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передаче администрации Сакмарского района части полномочий по осуществлению внутреннего муниципального финансового контроля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Администрация Сакмарского района Оренбургской области, именуемая в дальнейшем «Администрация», в лице главы района Вострикова Валерия Владимировича, действующего на основании Устава МО Сакмарский район, с одной стороны, и Администрация муниципального образования Дмитриевский сельсовет Сакмарского района Оренбургской области, именуемая в дальнейшем «Поселение», в лице главы администрации Свиридова Юрия Николаевича, действующего на основании Устава муниципального образования Дмитриевский сельсовет Сакмарского района, с другой -стороны, именуемые совместно «Стороны», 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 заключили настоящее Соглашение о нижеследующем: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 .Предмет соглашения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12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настоящему Соглашению «Поселение» передаёт, а «Администрация» принимает полномочия по осуществлению внутреннего муниципального финансового контроля в «Поселении».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512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«Администрации» передаются следующие полномочия по осуществлению внутреннего муниципального финансового контроля: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35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 ия;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0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полнотой и достоверностью отчетности о реализации муниципальных программ;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35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правильностью ведения бухгалтерского учёта и достоверностью бюджетной отчётности;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35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использованием муниципального имущества, находящегося в собственности поселения;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35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соблюдением федерального, областного и муниципального законодательства в сфере закупок товаров, работ, услуг для обеспечения муниципальных нужд.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Финансовое обеспечение передаваемых полномочий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12" w:val="left"/>
          <w:tab w:pos="4920" w:val="left"/>
        </w:tabs>
        <w:bidi w:val="0"/>
        <w:spacing w:before="0" w:after="32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Осуществление «Администрацией» передаваемых полномочий происходит за счёт межбюджетных трансфертов на очередной год и плановый период передаваемых из бюджета «Поселения» в бюджет муниципального района.</w:t>
        <w:tab/>
      </w:r>
      <w:r>
        <w:rPr>
          <w:color w:val="BCA181"/>
          <w:spacing w:val="0"/>
          <w:w w:val="100"/>
          <w:position w:val="0"/>
          <w:shd w:val="clear" w:color="auto" w:fill="auto"/>
          <w:lang w:val="ru-RU" w:eastAsia="ru-RU" w:bidi="ru-RU"/>
        </w:rPr>
        <w:t>,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301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Стороны определяют объем межбюджетных трансфертов, необходимых для осуществления передаваемых полномочий настоящим Соглашением, в соответствии с утвержденной Методикой расчета, согласно приложению №2 к постановлению от 14.02.2022 №196-п. Сумма, предусмотренная из бюджета «Поселения» в бюджет муниципального района: в текущем периоде 2025 года - оплата не предусмотрена, в плановом периоде (прогноз) 2026 года- оплата не предусмотрена, в плановом периоде (прогноз) 2027 года- 19200 рублей. Прогнозные объемы межбюджетных трансфертов подлежат ежегодному уточнению.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018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Межбюджетные трансферты зачисляются в районный бюджет по коду бюджетной классификации доходов 01220240014050003150.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значения».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071" w:val="left"/>
        </w:tabs>
        <w:bidi w:val="0"/>
        <w:spacing w:before="0" w:after="32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Формирование, перечисление, учёт межбюджетных трансфертов на реализацию полномочий, указанных в разделе 1 настоящего соглашения, осуществляется в соответствии с бюджетным законодательством РФ.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Права и обязанности сторон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034" w:val="left"/>
        </w:tabs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«Поселение»: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2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имеет право направлять предложения по проведению контрольных мероприятий;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рассматривает заключения или представления по результатам проведения контрольных мероприятий.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-производит перечисление межбюджетных трансфертов, предназначенных для исполнения переданных полномочий, равными долями на дату предоставления распоряжения о проведении контрольного мероприятия и на дату подписания акта проверки.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034" w:val="left"/>
        </w:tabs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«Администрация»: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2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осуществляет в рамках настоящего Соглашения реализацию своих полномочий, проводит проверки в соответствии с утверждённым планом контрольных мероприятий 1 раз в три года;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2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определяет формы, цели, задачи и исполнителей проводимых мероприятий, способы их проведения;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2" w:val="left"/>
        </w:tabs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имеет право запрашивать и получать у объекта контроля на основании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обоснованного запроса в письменной или устной форме информацию, документы и материалы, а также их копии, необходимые для проведения контрольных мероприятий; при осуществлении выездных проверок имеет право:</w:t>
        <w:tab/>
        <w:t>посещать помещения и территории, которые занимают объекты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контроля, в отношении которых проводятся контрольные мероприятия, требовать предъявления поставленных товаров, результатов выполненных работ, оказанных услуг; проводить мероприятия по документальному и (или) фактическому изучению деятельности объекта контроля, в том числе путем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проведения осмотра, инвентаризации, наблюдения, пересчета, контрольных замеров;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0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направляет представления «Поселению», принимает другие предусмотренные законодательством меры по устранению и предотвращению выявляемых нарушений;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-обеспечивает целевое использование (содержание специалиста, приобретение оргтехники, канцелярских товаров и услуги связи), поступивших межбюджетных трансфертов.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030" w:val="left"/>
        </w:tabs>
        <w:bidi w:val="0"/>
        <w:spacing w:before="0" w:after="30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невозможности надлежащего исполнения переданных полномочий, «Администрация» сообщает об этом, в письменном виде «Поселению» в течение пяти рабочих дней. «Поселение» рассматривает в течение трёх дней с момента его поступления.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22" w:val="left"/>
        </w:tabs>
        <w:bidi w:val="0"/>
        <w:spacing w:before="0" w:after="3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действия Соглашения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038" w:val="left"/>
        </w:tabs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Соглашение заключено на 2025 год.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030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Указанные в п. 1 настоящего Соглашения полномочия передаются с «01» января 2025 года и действуют до « 31 » декабря 2025 года.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49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Соглашение может быть расторгнуто по взаимному согласию Сторон или в одностороннем порядке в случае неисполнения или ненадлежащего исполнения полномочий в соответствии с действующим законодательством РФ.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49" w:val="left"/>
        </w:tabs>
        <w:bidi w:val="0"/>
        <w:spacing w:before="0" w:after="30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 о расторжении настоящего Соглашения в одностороннем порядке направляется другой стороне в письменном виде за 30 дней до предполагаемой даты расторжения Соглашения.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18" w:val="left"/>
        </w:tabs>
        <w:bidi w:val="0"/>
        <w:spacing w:before="0" w:after="300" w:line="240" w:lineRule="auto"/>
        <w:ind w:left="2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Ответственность Сторон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066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Стороны несут ответственность за неисполнение или ненадлежащее исполнение предусмотренных настоящим Соглашением обязанностей и полномочий в соответствии с действующим законодательством РФ.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49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неисполнения или ненадлежащего исполнения «Администрацией» обязанностей по исполнению переданных полномочий, «Поселение» вправе приостановить перечисление межбюджетных трансфертов, указанных в разделе 3.1 настоящего Соглашения.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49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неисполнения «Поселением» обязательств по финансированию осуществления «Администрацией» переданных ей полномочий, «Администрация» вправе требовать расторжения данного Соглашения, уплаты неустойки в размере 5% от суммы межбюджетных трансфертов, а также возмещения понесенных убытков в части, не покрытой неустойкой.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22" w:val="left"/>
        </w:tabs>
        <w:bidi w:val="0"/>
        <w:spacing w:before="0" w:after="300" w:line="240" w:lineRule="auto"/>
        <w:ind w:left="2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Заключительные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076" w:val="left"/>
        </w:tabs>
        <w:bidi w:val="0"/>
        <w:spacing w:before="0" w:after="300" w:line="254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Соглашение вступает в силу с момента его подписания Сторонами.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096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Внесение изменений или дополнений в настоящее Соглашение осуществляется по взаимному согласию Сторон путём заключения дополнительных соглашений, которые заключаются в письменном виде и являются неотъемлемой частью настоящего Соглашения.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096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прекращения действия настоящего Соглашения,'начатые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096" w:val="left"/>
        </w:tabs>
        <w:bidi w:val="0"/>
        <w:spacing w:before="0" w:after="0" w:line="240" w:lineRule="auto"/>
        <w:ind w:left="0" w:right="0" w:firstLine="56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182" w:left="1759" w:right="695" w:bottom="904" w:header="754" w:footer="476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Соглашение составлено в двух экземплярах по одному для каждой из Сторон.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47" w:left="0" w:right="0" w:bottom="1247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1651" w:h="370" w:wrap="none" w:vAnchor="text" w:hAnchor="page" w:x="1801" w:y="2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района</w:t>
      </w:r>
    </w:p>
    <w:p>
      <w:pPr>
        <w:pStyle w:val="Style2"/>
        <w:keepNext w:val="0"/>
        <w:keepLines w:val="0"/>
        <w:framePr w:w="2146" w:h="413" w:wrap="none" w:vAnchor="text" w:hAnchor="page" w:x="2962" w:y="14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4D48B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'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В.В. Востриков</w:t>
      </w:r>
    </w:p>
    <w:p>
      <w:pPr>
        <w:pStyle w:val="Style8"/>
        <w:keepNext w:val="0"/>
        <w:keepLines w:val="0"/>
        <w:framePr w:w="3024" w:h="566" w:wrap="none" w:vAnchor="text" w:hAnchor="page" w:x="2094" w:y="21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■/обладминистрация</w:t>
      </w:r>
      <w:r>
        <w:rPr>
          <w:smallCaps w:val="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 Ж |*</w:t>
      </w:r>
    </w:p>
    <w:p>
      <w:pPr>
        <w:pStyle w:val="Style2"/>
        <w:keepNext w:val="0"/>
        <w:keepLines w:val="0"/>
        <w:framePr w:w="3024" w:h="566" w:wrap="none" w:vAnchor="text" w:hAnchor="page" w:x="2094" w:y="2199"/>
        <w:widowControl w:val="0"/>
        <w:shd w:val="clear" w:color="auto" w:fill="auto"/>
        <w:tabs>
          <w:tab w:leader="underscore" w:pos="2030" w:val="left"/>
        </w:tabs>
        <w:bidi w:val="0"/>
        <w:spacing w:before="0" w:after="0" w:line="180" w:lineRule="auto"/>
        <w:ind w:left="0" w:right="0" w:firstLine="0"/>
        <w:jc w:val="left"/>
      </w:pPr>
      <w:r>
        <w:rPr>
          <w:color w:val="7482A4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U3&amp; </w:t>
      </w:r>
      <w:r>
        <w:rPr>
          <w:color w:val="A7BFF1"/>
          <w:spacing w:val="0"/>
          <w:w w:val="100"/>
          <w:position w:val="0"/>
          <w:shd w:val="clear" w:color="auto" w:fill="auto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>20 г.</w:t>
      </w:r>
    </w:p>
    <w:p>
      <w:pPr>
        <w:pStyle w:val="Style5"/>
        <w:keepNext w:val="0"/>
        <w:keepLines w:val="0"/>
        <w:framePr w:w="1963" w:h="374" w:wrap="none" w:vAnchor="text" w:hAnchor="page" w:x="8569" w:y="14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Ю.Н. Свиридов</w:t>
      </w:r>
    </w:p>
    <w:p>
      <w:pPr>
        <w:pStyle w:val="Style2"/>
        <w:keepNext w:val="0"/>
        <w:keepLines w:val="0"/>
        <w:framePr w:w="3269" w:h="365" w:wrap="none" w:vAnchor="text" w:hAnchor="page" w:x="6961" w:y="2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 МО</w:t>
      </w:r>
    </w:p>
    <w:p>
      <w:pPr>
        <w:pStyle w:val="Style2"/>
        <w:keepNext w:val="0"/>
        <w:keepLines w:val="0"/>
        <w:framePr w:w="2822" w:h="346" w:wrap="none" w:vAnchor="text" w:hAnchor="page" w:x="6975" w:y="8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Дмитриевский сельсовет</w:t>
      </w:r>
    </w:p>
    <w:p>
      <w:pPr>
        <w:pStyle w:val="Style2"/>
        <w:keepNext w:val="0"/>
        <w:keepLines w:val="0"/>
        <w:framePr w:w="1003" w:h="360" w:wrap="none" w:vAnchor="text" w:hAnchor="page" w:x="9865" w:y="24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 г.</w:t>
      </w:r>
    </w:p>
    <w:p>
      <w:pPr>
        <w:widowControl w:val="0"/>
        <w:spacing w:line="360" w:lineRule="exact"/>
      </w:pPr>
      <w:r>
        <w:drawing>
          <wp:anchor distT="521335" distB="0" distL="15240" distR="0" simplePos="0" relativeHeight="62914690" behindDoc="1" locked="0" layoutInCell="1" allowOverlap="1">
            <wp:simplePos x="0" y="0"/>
            <wp:positionH relativeFrom="page">
              <wp:posOffset>1158240</wp:posOffset>
            </wp:positionH>
            <wp:positionV relativeFrom="paragraph">
              <wp:posOffset>664845</wp:posOffset>
            </wp:positionV>
            <wp:extent cx="1554480" cy="164592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554480" cy="1645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1088390" simplePos="0" relativeHeight="62914691" behindDoc="1" locked="0" layoutInCell="1" allowOverlap="1">
            <wp:simplePos x="0" y="0"/>
            <wp:positionH relativeFrom="page">
              <wp:posOffset>4331335</wp:posOffset>
            </wp:positionH>
            <wp:positionV relativeFrom="paragraph">
              <wp:posOffset>12700</wp:posOffset>
            </wp:positionV>
            <wp:extent cx="1268095" cy="197485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268095" cy="19748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4773295</wp:posOffset>
            </wp:positionH>
            <wp:positionV relativeFrom="paragraph">
              <wp:posOffset>1938655</wp:posOffset>
            </wp:positionV>
            <wp:extent cx="658495" cy="29273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58495" cy="2927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247" w:left="1778" w:right="737" w:bottom="124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Подпись к картинке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Основной текст (2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/>
      <w:strike w:val="0"/>
      <w:color w:val="A7BFF1"/>
      <w:sz w:val="16"/>
      <w:szCs w:val="1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Подпись к картинке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/>
      <w:strike w:val="0"/>
      <w:color w:val="A7BFF1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